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25" w:rsidRDefault="00C5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B25" w:rsidRDefault="00C5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B25" w:rsidRDefault="00C56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6B25" w:rsidRDefault="00C5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B25" w:rsidRDefault="007F1ED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C56B25" w:rsidRDefault="007F1ED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C56B25" w:rsidRDefault="007F1ED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МКК «ВЛИЯНИЕ ЗАПАДА»</w:t>
      </w:r>
    </w:p>
    <w:p w:rsidR="00C56B25" w:rsidRDefault="007F1ED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«25» марта 2021 года № 17-од</w:t>
      </w:r>
    </w:p>
    <w:p w:rsidR="00C56B25" w:rsidRDefault="00C5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B25" w:rsidRDefault="00C56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B25" w:rsidRDefault="007F1E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56B25" w:rsidRDefault="007F1E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микрозаймов </w:t>
      </w:r>
    </w:p>
    <w:p w:rsidR="00C56B25" w:rsidRDefault="007F1E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в ООО МКК «ВЛИЯНИЕ ЗАПАДА» по договорам </w:t>
      </w:r>
      <w:r>
        <w:rPr>
          <w:rFonts w:ascii="Times New Roman" w:hAnsi="Times New Roman" w:cs="Times New Roman"/>
          <w:sz w:val="24"/>
          <w:szCs w:val="24"/>
        </w:rPr>
        <w:t>потребительского микрозайма во 2 квартале 2021 года</w:t>
      </w:r>
    </w:p>
    <w:p w:rsidR="00C56B25" w:rsidRDefault="00C56B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6B25" w:rsidRDefault="007F1E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займодавца 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«ВЛИЯНИЕ ЗАПАДА»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 займодавца</w:t>
            </w: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51, офис 1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займодавца в информационно-телекоммуникационной сети «Интернет» 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sfgroup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56B25" w:rsidRDefault="00C5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микрофинансовых организаций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 года</w:t>
            </w:r>
          </w:p>
          <w:p w:rsidR="00C56B25" w:rsidRDefault="00C5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 к заемщику, выполнение которых является обязательным для предоставления потребительского займа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Возраст от 18 до 60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B25" w:rsidRDefault="007F1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C56B25" w:rsidRDefault="007F1E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остоянная регистрация на территории Российской Федерации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</w:t>
            </w: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для рассмотрения заявления, в том числе для оценки платежеспособности заемщика</w:t>
            </w: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Паспорт заемщика</w:t>
            </w:r>
          </w:p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чительство)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займом начинают начисляться со дня, следующего за днем предоставления 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займа включительно. В случае погашения займа в день его выдачи проценты начисляются за 1 (один) день пользования займом. 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потребительских займов</w:t>
            </w:r>
          </w:p>
          <w:p w:rsidR="00C56B25" w:rsidRDefault="00C5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C56B25" w:rsidRDefault="007F1EDC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 (залогом, поручительством).</w:t>
            </w:r>
          </w:p>
          <w:p w:rsidR="00C56B25" w:rsidRDefault="007F1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C56B25" w:rsidRDefault="007F1EDC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аннуитетных платежей;</w:t>
            </w:r>
          </w:p>
          <w:p w:rsidR="00C56B25" w:rsidRDefault="007F1EDC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займом с погашением суммы основного долга при внесении последнего платежа)</w:t>
            </w:r>
          </w:p>
          <w:p w:rsidR="00C56B25" w:rsidRDefault="007F1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C56B25" w:rsidRDefault="007F1EDC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C56B25" w:rsidRDefault="007F1EDC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C56B25" w:rsidRDefault="007F1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направленности:</w:t>
            </w:r>
          </w:p>
          <w:p w:rsidR="00C56B25" w:rsidRDefault="007F1EDC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приобретение автомобиля);</w:t>
            </w:r>
          </w:p>
          <w:p w:rsidR="00C56B25" w:rsidRDefault="007F1EDC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нужды).</w:t>
            </w:r>
          </w:p>
          <w:p w:rsidR="00C56B25" w:rsidRDefault="007F1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C56B25" w:rsidRDefault="007F1EDC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месяцев до 5 лет.</w:t>
            </w:r>
          </w:p>
          <w:p w:rsidR="00C56B25" w:rsidRDefault="00C5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займа и сроки его возврата</w:t>
            </w:r>
          </w:p>
          <w:p w:rsidR="00C56B25" w:rsidRDefault="00C5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30 000 до 500 000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до 5 лет. 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ипотечного займа, в том числе с использованием заемщиком электронных средств платежа</w:t>
            </w: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денежных средств на счет заемщика.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90 % годовых по потребительским договорам займа с обеспечением в виде залог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  <w:p w:rsidR="00C56B25" w:rsidRDefault="007F1E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121 % годовых по договорам потребительского займа с иным обеспечением со срокам займа до 365 дней, а также от 30 до 67 % годовых по тем же договорам со сроком займа свыше 365 дней.</w:t>
            </w:r>
          </w:p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 займа</w:t>
            </w: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применимо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микрозайма, определенных по видам потребительских микрозаймов.</w:t>
            </w:r>
          </w:p>
        </w:tc>
        <w:tc>
          <w:tcPr>
            <w:tcW w:w="4395" w:type="dxa"/>
          </w:tcPr>
          <w:p w:rsidR="00C56B25" w:rsidRDefault="007F1EDC">
            <w:pPr>
              <w:pStyle w:val="af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color w:val="000000"/>
              </w:rPr>
              <w:t>В соответствии с Федеральным законом от 21 декабря 2013 года № 353-ФЗ «О по</w:t>
            </w:r>
            <w:r>
              <w:rPr>
                <w:color w:val="000000"/>
              </w:rPr>
              <w:t>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отдельно для микрофи</w:t>
            </w:r>
            <w:r>
              <w:rPr>
                <w:color w:val="000000"/>
              </w:rPr>
              <w:t>нансовых организаций, 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C56B25" w:rsidRDefault="007F1EDC">
            <w:pPr>
              <w:pStyle w:val="afa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 момент заключения договора потребительского кредита</w:t>
            </w:r>
            <w:r>
              <w:rPr>
                <w:color w:val="000000"/>
              </w:rPr>
              <w:t xml:space="preserve">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то есть в данном </w:t>
            </w:r>
            <w:r>
              <w:rPr>
                <w:color w:val="000000"/>
              </w:rPr>
              <w:t>случае «с обеспечением в виде залога», применяемое в соответствующем календарном квартале, более чем на одну треть.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микрозайму.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1)Единовременный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зврат суммы займа и процентов.</w:t>
            </w:r>
          </w:p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2)Ежемесячные аннуитетные платежи (оплата части тела займа и процентов за пользование займом согласно графику платежей).</w:t>
            </w:r>
          </w:p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новной суммы долга при  внесении последнего платежа согласно графику платежей).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возврата заемщиком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наличными денежными средствами в кассу займодавца;</w:t>
            </w:r>
          </w:p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заемщи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вправе отказаться от получения потребительского займа. </w:t>
            </w:r>
          </w:p>
        </w:tc>
        <w:tc>
          <w:tcPr>
            <w:tcW w:w="4395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считается заключенным с момента получения заемщиком денежных средств. Заемщик самостоятельно выполняет </w:t>
            </w: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по заключению договора, а именно подписывает индивидуальные условия микрозайма. Исходя из этого, заемщик вправе отказаться от получения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йма с момента получения индивидуальных условий договора займа и до момента их подписания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говору потребительского займа.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микрозайма в виде залога движимого имущества или поручительства.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договора займа, размеры неус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нарушения срока возврата суммы займа и начисленных процентов за его пользование: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(если заем предоставляется на срок до одного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года)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задолженностью понимается сумма невозвращенной части тела займа, начисленной на дату ненадлежащего исполнения обязательств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просроченной задолже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нностью понимается сумма невозвращенной части тела займа, а также сумма процентов за неисполнения денежного обязательства, начисленных на дату ненадлежащего исполнения обязательств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ласиться с заключением таких договоров и (или) оказанием таких услуг либо отказаться от них.</w:t>
            </w: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Заемщиком заключается договор о залоге движимого имущества</w:t>
            </w:r>
          </w:p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возможном увеличении суммы расходов заемщика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сравнению с ожидаемой суммой расходов в рублях, в том числе при применении переменной процентной ставки.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займа в одностороннем не производится.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курса валюты, в которой заемщик получает доходы, величина доходов может снизить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что увеличивает риск невозврата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  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о возможности запрете уступки займодавцем третьим лицам прав (требований) по договору потребительского микрозайма.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Займодавец вправе осуществить, а Заемщик запретить уступку прав (требований) по договору потребительского кредита (займа) только юридиче</w:t>
            </w:r>
            <w:r>
              <w:rPr>
                <w:rFonts w:ascii="Times New Roman" w:hAnsi="Times New Roman"/>
                <w:sz w:val="24"/>
                <w:szCs w:val="24"/>
              </w:rPr>
              <w:t>скому лицу,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нному финансовому обществу или физическому лицу, указанному в письменном согласии Заемщика, полученном Займодавцем после возникновения у Заемщика просроченной задолженности по договору потребительского кредита (займа), с последующим уведомлением Заемщика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срок, не превышающий 15 (Пятнадцати) рабочих дней со дня уступки права требования, одним из способов, предусмотренных в п. 16 Индивидуальных условий договора.</w:t>
            </w:r>
          </w:p>
          <w:p w:rsidR="00C56B25" w:rsidRDefault="00C5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заемщиком информации об использовании потребительского займа на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цели.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получения заемщиком соответствующего запроса займодавца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C56B25" w:rsidRDefault="007F1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споры, возникающие при исполнении договора ипотечног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займа и не урегулированные в добровольном порядке, подлежат рассматрению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районном суде соответствующего города, в котором расположен офис займодавца, который указан в Договоре. </w:t>
            </w:r>
          </w:p>
        </w:tc>
      </w:tr>
      <w:tr w:rsidR="00C56B25">
        <w:tc>
          <w:tcPr>
            <w:tcW w:w="675" w:type="dxa"/>
          </w:tcPr>
          <w:p w:rsidR="00C56B25" w:rsidRDefault="007F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C56B25" w:rsidRDefault="007F1E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ипотечного займа.</w:t>
            </w:r>
          </w:p>
        </w:tc>
        <w:tc>
          <w:tcPr>
            <w:tcW w:w="4395" w:type="dxa"/>
          </w:tcPr>
          <w:p w:rsidR="00C56B25" w:rsidRDefault="007F1EDC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 договора потребительского займа размещены в помещениях офисов Займодавца, а также размещены на сайте Компании: </w:t>
            </w:r>
            <w:r>
              <w:rPr>
                <w:rFonts w:ascii="Times New Roman" w:hAnsi="Times New Roman" w:cs="Times New Roman"/>
                <w:b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C56B25" w:rsidRDefault="00C56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B25" w:rsidRDefault="00C56B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B25" w:rsidRDefault="00C56B25"/>
    <w:sectPr w:rsidR="00C5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DC" w:rsidRDefault="007F1EDC">
      <w:pPr>
        <w:spacing w:after="0" w:line="240" w:lineRule="auto"/>
      </w:pPr>
      <w:r>
        <w:separator/>
      </w:r>
    </w:p>
  </w:endnote>
  <w:endnote w:type="continuationSeparator" w:id="0">
    <w:p w:rsidR="007F1EDC" w:rsidRDefault="007F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DC" w:rsidRDefault="007F1EDC">
      <w:pPr>
        <w:spacing w:after="0" w:line="240" w:lineRule="auto"/>
      </w:pPr>
      <w:r>
        <w:separator/>
      </w:r>
    </w:p>
  </w:footnote>
  <w:footnote w:type="continuationSeparator" w:id="0">
    <w:p w:rsidR="007F1EDC" w:rsidRDefault="007F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E63"/>
    <w:multiLevelType w:val="hybridMultilevel"/>
    <w:tmpl w:val="2F9CDE52"/>
    <w:lvl w:ilvl="0" w:tplc="85BE6C7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FF9478EE">
      <w:start w:val="1"/>
      <w:numFmt w:val="lowerLetter"/>
      <w:lvlText w:val="%2."/>
      <w:lvlJc w:val="left"/>
      <w:pPr>
        <w:ind w:left="1440" w:hanging="360"/>
      </w:pPr>
    </w:lvl>
    <w:lvl w:ilvl="2" w:tplc="CB18FEF6">
      <w:start w:val="1"/>
      <w:numFmt w:val="lowerRoman"/>
      <w:lvlText w:val="%3."/>
      <w:lvlJc w:val="right"/>
      <w:pPr>
        <w:ind w:left="2160" w:hanging="180"/>
      </w:pPr>
    </w:lvl>
    <w:lvl w:ilvl="3" w:tplc="C51A2F24">
      <w:start w:val="1"/>
      <w:numFmt w:val="decimal"/>
      <w:lvlText w:val="%4."/>
      <w:lvlJc w:val="left"/>
      <w:pPr>
        <w:ind w:left="2880" w:hanging="360"/>
      </w:pPr>
    </w:lvl>
    <w:lvl w:ilvl="4" w:tplc="0578489E">
      <w:start w:val="1"/>
      <w:numFmt w:val="lowerLetter"/>
      <w:lvlText w:val="%5."/>
      <w:lvlJc w:val="left"/>
      <w:pPr>
        <w:ind w:left="3600" w:hanging="360"/>
      </w:pPr>
    </w:lvl>
    <w:lvl w:ilvl="5" w:tplc="615C77D8">
      <w:start w:val="1"/>
      <w:numFmt w:val="lowerRoman"/>
      <w:lvlText w:val="%6."/>
      <w:lvlJc w:val="right"/>
      <w:pPr>
        <w:ind w:left="4320" w:hanging="180"/>
      </w:pPr>
    </w:lvl>
    <w:lvl w:ilvl="6" w:tplc="207C8C88">
      <w:start w:val="1"/>
      <w:numFmt w:val="decimal"/>
      <w:lvlText w:val="%7."/>
      <w:lvlJc w:val="left"/>
      <w:pPr>
        <w:ind w:left="5040" w:hanging="360"/>
      </w:pPr>
    </w:lvl>
    <w:lvl w:ilvl="7" w:tplc="BE8E0016">
      <w:start w:val="1"/>
      <w:numFmt w:val="lowerLetter"/>
      <w:lvlText w:val="%8."/>
      <w:lvlJc w:val="left"/>
      <w:pPr>
        <w:ind w:left="5760" w:hanging="360"/>
      </w:pPr>
    </w:lvl>
    <w:lvl w:ilvl="8" w:tplc="C764FC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6ACE"/>
    <w:multiLevelType w:val="hybridMultilevel"/>
    <w:tmpl w:val="504E0EDC"/>
    <w:lvl w:ilvl="0" w:tplc="4A88A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2AC2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E6CE7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2665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4C7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DE4F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FE7B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C8AA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96DE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B68B3"/>
    <w:multiLevelType w:val="hybridMultilevel"/>
    <w:tmpl w:val="E5A4754C"/>
    <w:lvl w:ilvl="0" w:tplc="413E7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4F2AA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92CEB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045A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D6D0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432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439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E29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D629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66898"/>
    <w:multiLevelType w:val="hybridMultilevel"/>
    <w:tmpl w:val="D35AAB08"/>
    <w:lvl w:ilvl="0" w:tplc="F5A8F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5DCB402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1E564B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18BE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1A8F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C6E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C5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8C1D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FE3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43F53"/>
    <w:multiLevelType w:val="hybridMultilevel"/>
    <w:tmpl w:val="252ED900"/>
    <w:lvl w:ilvl="0" w:tplc="4CB2C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A4C2F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A5AFF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858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C046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E2BB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34CD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4890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CC44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F69E6"/>
    <w:multiLevelType w:val="hybridMultilevel"/>
    <w:tmpl w:val="C6DC6CF6"/>
    <w:lvl w:ilvl="0" w:tplc="8722A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8CE04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93E37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94D4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4418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3A82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3C42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8AC4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E23E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B3DD2"/>
    <w:multiLevelType w:val="multilevel"/>
    <w:tmpl w:val="0A0EF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4F2A61"/>
    <w:multiLevelType w:val="multilevel"/>
    <w:tmpl w:val="F3A25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E227D3"/>
    <w:multiLevelType w:val="hybridMultilevel"/>
    <w:tmpl w:val="2152CCB6"/>
    <w:lvl w:ilvl="0" w:tplc="1A045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8C4B02">
      <w:start w:val="1"/>
      <w:numFmt w:val="lowerLetter"/>
      <w:lvlText w:val="%2."/>
      <w:lvlJc w:val="left"/>
      <w:pPr>
        <w:ind w:left="1440" w:hanging="360"/>
      </w:pPr>
    </w:lvl>
    <w:lvl w:ilvl="2" w:tplc="E200B91C">
      <w:start w:val="1"/>
      <w:numFmt w:val="lowerRoman"/>
      <w:lvlText w:val="%3."/>
      <w:lvlJc w:val="right"/>
      <w:pPr>
        <w:ind w:left="2160" w:hanging="180"/>
      </w:pPr>
    </w:lvl>
    <w:lvl w:ilvl="3" w:tplc="04FC97F8">
      <w:start w:val="1"/>
      <w:numFmt w:val="decimal"/>
      <w:lvlText w:val="%4."/>
      <w:lvlJc w:val="left"/>
      <w:pPr>
        <w:ind w:left="2880" w:hanging="360"/>
      </w:pPr>
    </w:lvl>
    <w:lvl w:ilvl="4" w:tplc="B3DC9946">
      <w:start w:val="1"/>
      <w:numFmt w:val="lowerLetter"/>
      <w:lvlText w:val="%5."/>
      <w:lvlJc w:val="left"/>
      <w:pPr>
        <w:ind w:left="3600" w:hanging="360"/>
      </w:pPr>
    </w:lvl>
    <w:lvl w:ilvl="5" w:tplc="7E38A808">
      <w:start w:val="1"/>
      <w:numFmt w:val="lowerRoman"/>
      <w:lvlText w:val="%6."/>
      <w:lvlJc w:val="right"/>
      <w:pPr>
        <w:ind w:left="4320" w:hanging="180"/>
      </w:pPr>
    </w:lvl>
    <w:lvl w:ilvl="6" w:tplc="C470B480">
      <w:start w:val="1"/>
      <w:numFmt w:val="decimal"/>
      <w:lvlText w:val="%7."/>
      <w:lvlJc w:val="left"/>
      <w:pPr>
        <w:ind w:left="5040" w:hanging="360"/>
      </w:pPr>
    </w:lvl>
    <w:lvl w:ilvl="7" w:tplc="4866F6C2">
      <w:start w:val="1"/>
      <w:numFmt w:val="lowerLetter"/>
      <w:lvlText w:val="%8."/>
      <w:lvlJc w:val="left"/>
      <w:pPr>
        <w:ind w:left="5760" w:hanging="360"/>
      </w:pPr>
    </w:lvl>
    <w:lvl w:ilvl="8" w:tplc="228810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25"/>
    <w:rsid w:val="007F1EDC"/>
    <w:rsid w:val="00C04BC9"/>
    <w:rsid w:val="00C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E72B6-DF07-438D-95BE-E5D35D51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AECA078-4C78-4BB8-9522-F79FF534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2021-12-28T10:08:00Z</dcterms:created>
  <dcterms:modified xsi:type="dcterms:W3CDTF">2022-07-25T09:57:00Z</dcterms:modified>
</cp:coreProperties>
</file>